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EFD95" w14:textId="7ABF03CD" w:rsidR="008A4907" w:rsidRDefault="005F3241" w:rsidP="000434FD">
      <w:pPr>
        <w:pStyle w:val="Szvegtrzs1"/>
        <w:spacing w:after="600"/>
        <w:jc w:val="center"/>
        <w:rPr>
          <w:b/>
          <w:bCs/>
          <w:sz w:val="32"/>
          <w:szCs w:val="32"/>
        </w:rPr>
      </w:pPr>
      <w:r w:rsidRPr="000434FD">
        <w:rPr>
          <w:b/>
          <w:bCs/>
          <w:sz w:val="32"/>
          <w:szCs w:val="32"/>
        </w:rPr>
        <w:t>Az intézmény alaptevékenysége</w:t>
      </w:r>
    </w:p>
    <w:p w14:paraId="4DDEA6F7" w14:textId="77777777" w:rsidR="00D31E43" w:rsidRPr="001421AD" w:rsidRDefault="00D31E43" w:rsidP="00D31E43">
      <w:pPr>
        <w:rPr>
          <w:rFonts w:ascii="Times New Roman" w:hAnsi="Times New Roman" w:cs="Times New Roman"/>
          <w:bCs/>
          <w:color w:val="000000" w:themeColor="text1"/>
        </w:rPr>
      </w:pPr>
      <w:r w:rsidRPr="001421AD">
        <w:rPr>
          <w:rFonts w:ascii="Times New Roman" w:hAnsi="Times New Roman" w:cs="Times New Roman"/>
          <w:bCs/>
          <w:color w:val="000000" w:themeColor="text1"/>
        </w:rPr>
        <w:t>A költségvetési szerv közfeladata:</w:t>
      </w:r>
    </w:p>
    <w:p w14:paraId="71B8208D" w14:textId="77777777" w:rsidR="00D31E43" w:rsidRPr="001421AD" w:rsidRDefault="00D31E43" w:rsidP="00D31E43">
      <w:pPr>
        <w:rPr>
          <w:rFonts w:ascii="Times New Roman" w:hAnsi="Times New Roman" w:cs="Times New Roman"/>
          <w:bCs/>
          <w:color w:val="000000" w:themeColor="text1"/>
        </w:rPr>
      </w:pPr>
    </w:p>
    <w:p w14:paraId="3FC5C4B9" w14:textId="77777777" w:rsidR="00D31E43" w:rsidRPr="001421AD" w:rsidRDefault="00D31E43" w:rsidP="00D31E43">
      <w:pPr>
        <w:jc w:val="both"/>
        <w:rPr>
          <w:rFonts w:ascii="Times New Roman" w:hAnsi="Times New Roman" w:cs="Times New Roman"/>
          <w:color w:val="000000" w:themeColor="text1"/>
        </w:rPr>
      </w:pPr>
      <w:bookmarkStart w:id="0" w:name="_Toc329786140"/>
      <w:bookmarkStart w:id="1" w:name="_Toc329848809"/>
      <w:bookmarkStart w:id="2" w:name="_Toc333569739"/>
      <w:bookmarkStart w:id="3" w:name="_Toc335290406"/>
      <w:bookmarkStart w:id="4" w:name="_Toc383767720"/>
      <w:r w:rsidRPr="001421AD">
        <w:rPr>
          <w:rFonts w:ascii="Times New Roman" w:hAnsi="Times New Roman" w:cs="Times New Roman"/>
          <w:color w:val="000000" w:themeColor="text1"/>
        </w:rPr>
        <w:t>Az Szt. 62. §</w:t>
      </w:r>
      <w:proofErr w:type="spellStart"/>
      <w:r w:rsidRPr="001421AD">
        <w:rPr>
          <w:rFonts w:ascii="Times New Roman" w:hAnsi="Times New Roman" w:cs="Times New Roman"/>
          <w:color w:val="000000" w:themeColor="text1"/>
        </w:rPr>
        <w:t>-a</w:t>
      </w:r>
      <w:proofErr w:type="spellEnd"/>
      <w:r w:rsidRPr="001421AD">
        <w:rPr>
          <w:rFonts w:ascii="Times New Roman" w:hAnsi="Times New Roman" w:cs="Times New Roman"/>
          <w:color w:val="000000" w:themeColor="text1"/>
        </w:rPr>
        <w:t xml:space="preserve"> szerinti étkeztetés, a 63. §</w:t>
      </w:r>
      <w:proofErr w:type="spellStart"/>
      <w:r w:rsidRPr="001421AD">
        <w:rPr>
          <w:rFonts w:ascii="Times New Roman" w:hAnsi="Times New Roman" w:cs="Times New Roman"/>
          <w:color w:val="000000" w:themeColor="text1"/>
        </w:rPr>
        <w:t>-a</w:t>
      </w:r>
      <w:proofErr w:type="spellEnd"/>
      <w:r w:rsidRPr="001421AD">
        <w:rPr>
          <w:rFonts w:ascii="Times New Roman" w:hAnsi="Times New Roman" w:cs="Times New Roman"/>
          <w:color w:val="000000" w:themeColor="text1"/>
        </w:rPr>
        <w:t xml:space="preserve"> szerinti házi segítségnyújtás, a 65. §</w:t>
      </w:r>
      <w:proofErr w:type="spellStart"/>
      <w:r w:rsidRPr="001421AD">
        <w:rPr>
          <w:rFonts w:ascii="Times New Roman" w:hAnsi="Times New Roman" w:cs="Times New Roman"/>
          <w:color w:val="000000" w:themeColor="text1"/>
        </w:rPr>
        <w:t>-a</w:t>
      </w:r>
      <w:proofErr w:type="spellEnd"/>
      <w:r w:rsidRPr="001421AD">
        <w:rPr>
          <w:rFonts w:ascii="Times New Roman" w:hAnsi="Times New Roman" w:cs="Times New Roman"/>
          <w:color w:val="000000" w:themeColor="text1"/>
        </w:rPr>
        <w:t xml:space="preserve"> szerinti 3 jelzőrendszeres házi segítségnyújtás, a 65/A. §</w:t>
      </w:r>
      <w:proofErr w:type="spellStart"/>
      <w:r w:rsidRPr="001421AD">
        <w:rPr>
          <w:rFonts w:ascii="Times New Roman" w:hAnsi="Times New Roman" w:cs="Times New Roman"/>
          <w:color w:val="000000" w:themeColor="text1"/>
        </w:rPr>
        <w:t>-a</w:t>
      </w:r>
      <w:proofErr w:type="spellEnd"/>
      <w:r w:rsidRPr="001421AD">
        <w:rPr>
          <w:rFonts w:ascii="Times New Roman" w:hAnsi="Times New Roman" w:cs="Times New Roman"/>
          <w:color w:val="000000" w:themeColor="text1"/>
        </w:rPr>
        <w:t xml:space="preserve"> szerinti közösségi alapellátás, a 65/C. §</w:t>
      </w:r>
      <w:proofErr w:type="spellStart"/>
      <w:r w:rsidRPr="001421AD">
        <w:rPr>
          <w:rFonts w:ascii="Times New Roman" w:hAnsi="Times New Roman" w:cs="Times New Roman"/>
          <w:color w:val="000000" w:themeColor="text1"/>
        </w:rPr>
        <w:t>-a</w:t>
      </w:r>
      <w:proofErr w:type="spellEnd"/>
      <w:r w:rsidRPr="001421AD">
        <w:rPr>
          <w:rFonts w:ascii="Times New Roman" w:hAnsi="Times New Roman" w:cs="Times New Roman"/>
          <w:color w:val="000000" w:themeColor="text1"/>
        </w:rPr>
        <w:t xml:space="preserve"> szerinti támogató szolgáltatás, a 65/F. § (1) bekezdés b) és c) pontja szerinti nappali ellátás szociális alapszolgáltatások, a 68. §</w:t>
      </w:r>
      <w:proofErr w:type="spellStart"/>
      <w:r w:rsidRPr="001421AD">
        <w:rPr>
          <w:rFonts w:ascii="Times New Roman" w:hAnsi="Times New Roman" w:cs="Times New Roman"/>
          <w:color w:val="000000" w:themeColor="text1"/>
        </w:rPr>
        <w:t>-a</w:t>
      </w:r>
      <w:proofErr w:type="spellEnd"/>
      <w:r w:rsidRPr="001421AD">
        <w:rPr>
          <w:rFonts w:ascii="Times New Roman" w:hAnsi="Times New Roman" w:cs="Times New Roman"/>
          <w:color w:val="000000" w:themeColor="text1"/>
        </w:rPr>
        <w:t xml:space="preserve"> szerinti idősek otthona</w:t>
      </w:r>
      <w:proofErr w:type="gramStart"/>
      <w:r w:rsidRPr="001421AD">
        <w:rPr>
          <w:rFonts w:ascii="Times New Roman" w:hAnsi="Times New Roman" w:cs="Times New Roman"/>
          <w:color w:val="000000" w:themeColor="text1"/>
        </w:rPr>
        <w:t>,  a</w:t>
      </w:r>
      <w:proofErr w:type="gramEnd"/>
      <w:r w:rsidRPr="001421AD">
        <w:rPr>
          <w:rFonts w:ascii="Times New Roman" w:hAnsi="Times New Roman" w:cs="Times New Roman"/>
          <w:color w:val="000000" w:themeColor="text1"/>
        </w:rPr>
        <w:t xml:space="preserve"> 68. § (3a) bekezdés szerinti szakápolási központ, a 71. §</w:t>
      </w:r>
      <w:proofErr w:type="spellStart"/>
      <w:r w:rsidRPr="001421AD">
        <w:rPr>
          <w:rFonts w:ascii="Times New Roman" w:hAnsi="Times New Roman" w:cs="Times New Roman"/>
          <w:color w:val="000000" w:themeColor="text1"/>
        </w:rPr>
        <w:t>-a</w:t>
      </w:r>
      <w:proofErr w:type="spellEnd"/>
      <w:r w:rsidRPr="001421AD">
        <w:rPr>
          <w:rFonts w:ascii="Times New Roman" w:hAnsi="Times New Roman" w:cs="Times New Roman"/>
          <w:color w:val="000000" w:themeColor="text1"/>
        </w:rPr>
        <w:t xml:space="preserve"> szerinti pszichiátriai beteg otthoni ápolást-gondozást nyújtó intézményi ellátása, a 75. §</w:t>
      </w:r>
      <w:proofErr w:type="spellStart"/>
      <w:r w:rsidRPr="001421AD">
        <w:rPr>
          <w:rFonts w:ascii="Times New Roman" w:hAnsi="Times New Roman" w:cs="Times New Roman"/>
          <w:color w:val="000000" w:themeColor="text1"/>
        </w:rPr>
        <w:t>-a</w:t>
      </w:r>
      <w:proofErr w:type="spellEnd"/>
      <w:r w:rsidRPr="001421AD">
        <w:rPr>
          <w:rFonts w:ascii="Times New Roman" w:hAnsi="Times New Roman" w:cs="Times New Roman"/>
          <w:color w:val="000000" w:themeColor="text1"/>
        </w:rPr>
        <w:t xml:space="preserve"> szerinti támogatott lakhatás, a 85/A. § (3) bekezdés a) pont ab) alpontja szerinti fogyatékos ápolást-gondozást nyújtó lakóotthoni ellátása, a 85/A. § (3) bekezdés b) pontja szerinti pszichiátriai rehabilitációs célú lakóotthoni ellátása, valamint a 99/B. §</w:t>
      </w:r>
      <w:proofErr w:type="spellStart"/>
      <w:r w:rsidRPr="001421AD">
        <w:rPr>
          <w:rFonts w:ascii="Times New Roman" w:hAnsi="Times New Roman" w:cs="Times New Roman"/>
          <w:color w:val="000000" w:themeColor="text1"/>
        </w:rPr>
        <w:t>-a</w:t>
      </w:r>
      <w:proofErr w:type="spellEnd"/>
      <w:r w:rsidRPr="001421AD">
        <w:rPr>
          <w:rFonts w:ascii="Times New Roman" w:hAnsi="Times New Roman" w:cs="Times New Roman"/>
          <w:color w:val="000000" w:themeColor="text1"/>
        </w:rPr>
        <w:t xml:space="preserve"> szerinti fejlesztő foglalkoztatás biztosítása.</w:t>
      </w:r>
    </w:p>
    <w:p w14:paraId="2118BEA8" w14:textId="77777777" w:rsidR="00D31E43" w:rsidRPr="001421AD" w:rsidRDefault="00D31E43" w:rsidP="00D31E43">
      <w:pPr>
        <w:rPr>
          <w:rFonts w:ascii="Times New Roman" w:hAnsi="Times New Roman" w:cs="Times New Roman"/>
          <w:color w:val="000000" w:themeColor="text1"/>
        </w:rPr>
      </w:pPr>
    </w:p>
    <w:p w14:paraId="4D56F784" w14:textId="62FAD407" w:rsidR="00D31E43" w:rsidRPr="001421AD" w:rsidRDefault="00D31E43" w:rsidP="00D31E43">
      <w:pPr>
        <w:pStyle w:val="Cmsor2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Toc140499647"/>
      <w:bookmarkStart w:id="6" w:name="_Toc140500656"/>
      <w:bookmarkStart w:id="7" w:name="_Toc140558431"/>
      <w:bookmarkStart w:id="8" w:name="_Toc182604561"/>
      <w:bookmarkStart w:id="9" w:name="_Toc329786141"/>
      <w:bookmarkStart w:id="10" w:name="_Toc329848810"/>
      <w:bookmarkStart w:id="11" w:name="_Toc333569740"/>
      <w:bookmarkStart w:id="12" w:name="_Toc335290407"/>
      <w:bookmarkStart w:id="13" w:name="_GoBack"/>
      <w:bookmarkEnd w:id="0"/>
      <w:bookmarkEnd w:id="1"/>
      <w:bookmarkEnd w:id="2"/>
      <w:bookmarkEnd w:id="3"/>
      <w:bookmarkEnd w:id="13"/>
      <w:r w:rsidRPr="001421AD">
        <w:rPr>
          <w:rFonts w:ascii="Times New Roman" w:hAnsi="Times New Roman"/>
          <w:color w:val="000000" w:themeColor="text1"/>
          <w:sz w:val="24"/>
          <w:szCs w:val="24"/>
        </w:rPr>
        <w:t>Alaptevékenységek</w:t>
      </w:r>
      <w:bookmarkEnd w:id="5"/>
      <w:bookmarkEnd w:id="6"/>
      <w:bookmarkEnd w:id="7"/>
      <w:bookmarkEnd w:id="8"/>
    </w:p>
    <w:p w14:paraId="1C625D8B" w14:textId="77777777" w:rsidR="00D31E43" w:rsidRPr="001421AD" w:rsidRDefault="00D31E43" w:rsidP="00D31E43">
      <w:pPr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>A költségvetési szerv főtevékenységének államháztartási szakágazati besorolása:</w:t>
      </w:r>
    </w:p>
    <w:p w14:paraId="04AB6821" w14:textId="77777777" w:rsidR="00D31E43" w:rsidRPr="001421AD" w:rsidRDefault="00D31E43" w:rsidP="00D31E43">
      <w:pPr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>872000 Mentális, szenvedélybeteg bentlakásos ellátása</w:t>
      </w:r>
    </w:p>
    <w:p w14:paraId="3EC66A2B" w14:textId="77777777" w:rsidR="00D31E43" w:rsidRPr="001421AD" w:rsidRDefault="00D31E43" w:rsidP="00D31E43">
      <w:pPr>
        <w:pStyle w:val="Cmsor2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14" w:name="_Toc140499648"/>
      <w:bookmarkStart w:id="15" w:name="_Toc140500657"/>
      <w:bookmarkStart w:id="16" w:name="_Toc140558432"/>
      <w:bookmarkStart w:id="17" w:name="_Toc140560043"/>
      <w:bookmarkStart w:id="18" w:name="_Toc156471346"/>
      <w:bookmarkStart w:id="19" w:name="_Toc156472131"/>
      <w:bookmarkStart w:id="20" w:name="_Toc180662699"/>
      <w:bookmarkStart w:id="21" w:name="_Toc182604562"/>
      <w:bookmarkStart w:id="22" w:name="_Toc179812315"/>
      <w:bookmarkStart w:id="23" w:name="_Toc179977321"/>
      <w:r w:rsidRPr="001421AD">
        <w:rPr>
          <w:rFonts w:ascii="Times New Roman" w:hAnsi="Times New Roman"/>
          <w:color w:val="000000" w:themeColor="text1"/>
          <w:sz w:val="24"/>
          <w:szCs w:val="24"/>
        </w:rPr>
        <w:t>Alaptevékenységének kormányzati funkciók szerinti besorolása:</w:t>
      </w:r>
      <w:bookmarkEnd w:id="4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1421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End w:id="22"/>
      <w:bookmarkEnd w:id="23"/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5821"/>
      </w:tblGrid>
      <w:tr w:rsidR="00D31E43" w:rsidRPr="001421AD" w14:paraId="51898E00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C597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kormányzati funkciószám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271F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kormányzati funkció megnevezése</w:t>
            </w:r>
          </w:p>
        </w:tc>
      </w:tr>
      <w:tr w:rsidR="00D31E43" w:rsidRPr="001421AD" w14:paraId="11666213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899E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041233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304A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Hosszabb időtartamú közfoglalkoztatás</w:t>
            </w:r>
          </w:p>
        </w:tc>
      </w:tr>
      <w:tr w:rsidR="00D31E43" w:rsidRPr="001421AD" w14:paraId="48964ADD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288E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096015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852A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Gyermekétkeztetés köznevelési intézményben</w:t>
            </w:r>
          </w:p>
        </w:tc>
      </w:tr>
      <w:tr w:rsidR="00D31E43" w:rsidRPr="001421AD" w14:paraId="60FB4D17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D960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096025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1096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Munkahelyi étkeztetés köznevelési intézményben</w:t>
            </w:r>
          </w:p>
        </w:tc>
      </w:tr>
      <w:tr w:rsidR="00D31E43" w:rsidRPr="001421AD" w14:paraId="4DF73175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C46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101121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B900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Pszichiátriai betegek tartós bentlakásos ellátása</w:t>
            </w:r>
          </w:p>
        </w:tc>
      </w:tr>
      <w:tr w:rsidR="00D31E43" w:rsidRPr="001421AD" w14:paraId="10CCA55F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241B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101125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E80A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Pszichiátriai betegek rehabilitációs lakóotthoni ellátása</w:t>
            </w:r>
          </w:p>
        </w:tc>
      </w:tr>
      <w:tr w:rsidR="00D31E43" w:rsidRPr="001421AD" w14:paraId="768E3581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E9E8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101133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2C31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Támogatott lakhatás pszichiátriai betegek részére</w:t>
            </w:r>
          </w:p>
        </w:tc>
      </w:tr>
      <w:tr w:rsidR="00D31E43" w:rsidRPr="001421AD" w14:paraId="631804F6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90AC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101141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E53B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Pszichiátriai betegek nappali ellátása</w:t>
            </w:r>
          </w:p>
        </w:tc>
      </w:tr>
      <w:tr w:rsidR="00D31E43" w:rsidRPr="001421AD" w14:paraId="2D2264DA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4D3A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101143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6736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Pszichiátriai betegek közösségi alapellátása</w:t>
            </w:r>
          </w:p>
        </w:tc>
      </w:tr>
      <w:tr w:rsidR="00D31E43" w:rsidRPr="001421AD" w14:paraId="31E68899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B7B2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101214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D97E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Támogatott lakhatás fogyatékos személyek részére</w:t>
            </w:r>
          </w:p>
        </w:tc>
      </w:tr>
      <w:tr w:rsidR="00D31E43" w:rsidRPr="001421AD" w14:paraId="1D2A311F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168B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101215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BED8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Fogyatékossággal élők ápoló-gondozó lakóotthoni ellátása</w:t>
            </w:r>
          </w:p>
        </w:tc>
      </w:tr>
      <w:tr w:rsidR="00D31E43" w:rsidRPr="001421AD" w14:paraId="33540788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4521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101221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FF26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Fogyatékossággal élők nappali ellátása</w:t>
            </w:r>
          </w:p>
        </w:tc>
      </w:tr>
      <w:tr w:rsidR="00D31E43" w:rsidRPr="001421AD" w14:paraId="0FA682FB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C51F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101222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127F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Támogató szolgáltatás fogyatékos személyek részére</w:t>
            </w:r>
          </w:p>
        </w:tc>
      </w:tr>
      <w:tr w:rsidR="00D31E43" w:rsidRPr="001421AD" w14:paraId="30E7A984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9FF1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102023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A257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Időskorúak bentlakásos ellátása</w:t>
            </w:r>
          </w:p>
        </w:tc>
      </w:tr>
      <w:tr w:rsidR="00D31E43" w:rsidRPr="001421AD" w14:paraId="24D0A554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097D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102024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E6C3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Demens</w:t>
            </w:r>
            <w:proofErr w:type="spellEnd"/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 xml:space="preserve"> betegek tartós bentlakásos ellátása</w:t>
            </w:r>
          </w:p>
        </w:tc>
      </w:tr>
      <w:tr w:rsidR="00D31E43" w:rsidRPr="001421AD" w14:paraId="6FADBBA4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3CDD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102027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D0B6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Szakápolási központ</w:t>
            </w:r>
          </w:p>
        </w:tc>
      </w:tr>
      <w:tr w:rsidR="00D31E43" w:rsidRPr="001421AD" w14:paraId="3B7EB2D5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877F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105020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1C56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Foglalkoztatást elősegítő képzések és egyéb támogatások</w:t>
            </w:r>
          </w:p>
        </w:tc>
      </w:tr>
      <w:tr w:rsidR="00D31E43" w:rsidRPr="001421AD" w14:paraId="6A3C5E35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79F0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107030</w:t>
            </w: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ab/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9686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Szociális foglalkoztatás, fejlesztő foglalkoztatás</w:t>
            </w:r>
          </w:p>
        </w:tc>
      </w:tr>
      <w:tr w:rsidR="00D31E43" w:rsidRPr="001421AD" w14:paraId="55D26B78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F4B1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107051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F12F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Szociális étkeztetés szociális konyhán</w:t>
            </w:r>
          </w:p>
        </w:tc>
      </w:tr>
      <w:tr w:rsidR="00D31E43" w:rsidRPr="001421AD" w14:paraId="2C8353BC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BACE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107052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2D02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Házi segítségnyújtás</w:t>
            </w:r>
          </w:p>
        </w:tc>
      </w:tr>
      <w:tr w:rsidR="00D31E43" w:rsidRPr="001421AD" w14:paraId="0D16A438" w14:textId="77777777" w:rsidTr="00F64043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1B01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107053</w:t>
            </w:r>
          </w:p>
          <w:p w14:paraId="6188C8AF" w14:textId="77777777" w:rsidR="00D31E43" w:rsidRPr="001421AD" w:rsidRDefault="00D31E43" w:rsidP="00F6404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BAD0" w14:textId="77777777" w:rsidR="00D31E43" w:rsidRPr="001421AD" w:rsidRDefault="00D31E43" w:rsidP="00F6404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21AD">
              <w:rPr>
                <w:rFonts w:ascii="Times New Roman" w:eastAsia="Calibri" w:hAnsi="Times New Roman" w:cs="Times New Roman"/>
                <w:color w:val="000000" w:themeColor="text1"/>
              </w:rPr>
              <w:t>Jelzőrendszeres házi segítségnyújtás</w:t>
            </w:r>
          </w:p>
        </w:tc>
      </w:tr>
    </w:tbl>
    <w:p w14:paraId="38A6A5FA" w14:textId="77777777" w:rsidR="00D31E43" w:rsidRPr="001421AD" w:rsidRDefault="00D31E43" w:rsidP="00D31E43">
      <w:pPr>
        <w:pStyle w:val="Cmsor2"/>
        <w:spacing w:line="240" w:lineRule="auto"/>
        <w:rPr>
          <w:rFonts w:ascii="Times New Roman" w:hAnsi="Times New Roman"/>
          <w:color w:val="000000" w:themeColor="text1"/>
          <w:kern w:val="28"/>
          <w:sz w:val="24"/>
          <w:szCs w:val="24"/>
        </w:rPr>
      </w:pPr>
      <w:bookmarkStart w:id="24" w:name="_Toc383767721"/>
      <w:bookmarkStart w:id="25" w:name="_Toc140499649"/>
      <w:bookmarkStart w:id="26" w:name="_Toc140500658"/>
      <w:bookmarkStart w:id="27" w:name="_Toc140558433"/>
    </w:p>
    <w:p w14:paraId="6C3A330C" w14:textId="77777777" w:rsidR="00D31E43" w:rsidRPr="001421AD" w:rsidRDefault="00D31E43" w:rsidP="00D31E43">
      <w:pPr>
        <w:rPr>
          <w:color w:val="000000" w:themeColor="text1"/>
        </w:rPr>
      </w:pPr>
    </w:p>
    <w:p w14:paraId="0FC53B4A" w14:textId="65DCCEEA" w:rsidR="00D31E43" w:rsidRPr="001421AD" w:rsidRDefault="00D31E43" w:rsidP="00D31E43">
      <w:pPr>
        <w:pStyle w:val="Cmsor2"/>
        <w:spacing w:line="240" w:lineRule="auto"/>
        <w:rPr>
          <w:rFonts w:ascii="Times New Roman" w:hAnsi="Times New Roman"/>
          <w:color w:val="000000" w:themeColor="text1"/>
          <w:kern w:val="28"/>
          <w:sz w:val="24"/>
          <w:szCs w:val="24"/>
        </w:rPr>
      </w:pPr>
      <w:bookmarkStart w:id="28" w:name="_Toc182604563"/>
      <w:r w:rsidRPr="001421AD">
        <w:rPr>
          <w:rFonts w:ascii="Times New Roman" w:hAnsi="Times New Roman"/>
          <w:color w:val="000000" w:themeColor="text1"/>
          <w:kern w:val="28"/>
          <w:sz w:val="24"/>
          <w:szCs w:val="24"/>
        </w:rPr>
        <w:lastRenderedPageBreak/>
        <w:t>Az alaptevékenységet meghatározó jogszabályok</w:t>
      </w:r>
      <w:bookmarkEnd w:id="9"/>
      <w:bookmarkEnd w:id="10"/>
      <w:bookmarkEnd w:id="11"/>
      <w:bookmarkEnd w:id="12"/>
      <w:bookmarkEnd w:id="24"/>
      <w:bookmarkEnd w:id="25"/>
      <w:bookmarkEnd w:id="26"/>
      <w:bookmarkEnd w:id="27"/>
      <w:bookmarkEnd w:id="28"/>
    </w:p>
    <w:p w14:paraId="1C8036F7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>A szociális igazgatásról és szociális ellátásokról szóló 1993. évi III. törvény (a továbbiakban: Szt.)</w:t>
      </w:r>
    </w:p>
    <w:p w14:paraId="7DC9543B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Style w:val="Kiemels2"/>
          <w:rFonts w:ascii="Times New Roman" w:hAnsi="Times New Roman" w:cs="Times New Roman"/>
          <w:color w:val="000000" w:themeColor="text1"/>
        </w:rPr>
        <w:t>A</w:t>
      </w:r>
      <w:r w:rsidRPr="001421AD">
        <w:rPr>
          <w:rFonts w:ascii="Times New Roman" w:hAnsi="Times New Roman" w:cs="Times New Roman"/>
          <w:color w:val="000000" w:themeColor="text1"/>
        </w:rPr>
        <w:t xml:space="preserve"> támogató szolgáltatás és a közösségi ellátások finanszírozásának rendjéről szóló</w:t>
      </w:r>
      <w:r w:rsidRPr="001421AD">
        <w:rPr>
          <w:rStyle w:val="Kiemels2"/>
          <w:rFonts w:ascii="Times New Roman" w:hAnsi="Times New Roman" w:cs="Times New Roman"/>
          <w:color w:val="000000" w:themeColor="text1"/>
        </w:rPr>
        <w:t>191/2008. (VII. 30.) Korm. rendelet</w:t>
      </w:r>
    </w:p>
    <w:p w14:paraId="2FB1459C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 xml:space="preserve">A fogyatékos személyek alapvizsgálatáról, a rehabilitációs alkalmassági vizsgálatról, továbbá a szociális intézményekben ellátott személyek állapotának felülvizsgálatáról szóló </w:t>
      </w:r>
      <w:r w:rsidRPr="001421AD">
        <w:rPr>
          <w:rStyle w:val="Kiemels2"/>
          <w:rFonts w:ascii="Times New Roman" w:hAnsi="Times New Roman" w:cs="Times New Roman"/>
          <w:color w:val="000000" w:themeColor="text1"/>
        </w:rPr>
        <w:t>92/2008. (IV. 23.) Korm. rendelet</w:t>
      </w:r>
    </w:p>
    <w:p w14:paraId="3EC833FC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Style w:val="Kiemels2"/>
          <w:rFonts w:ascii="Times New Roman" w:hAnsi="Times New Roman" w:cs="Times New Roman"/>
          <w:color w:val="000000" w:themeColor="text1"/>
        </w:rPr>
        <w:t>A</w:t>
      </w:r>
      <w:r w:rsidRPr="001421AD">
        <w:rPr>
          <w:rFonts w:ascii="Times New Roman" w:hAnsi="Times New Roman" w:cs="Times New Roman"/>
          <w:color w:val="000000" w:themeColor="text1"/>
        </w:rPr>
        <w:t xml:space="preserve"> személyes gondoskodás igénybevételével kapcsolatos eljárásokban közreműködő szakértőkre, szakértői szervekre vonatkozó részletes szabályokról szóló </w:t>
      </w:r>
      <w:r w:rsidRPr="001421AD">
        <w:rPr>
          <w:rStyle w:val="Kiemels2"/>
          <w:rFonts w:ascii="Times New Roman" w:hAnsi="Times New Roman" w:cs="Times New Roman"/>
          <w:color w:val="000000" w:themeColor="text1"/>
        </w:rPr>
        <w:t>340/2007. (XII. 15.) Korm. rendelet</w:t>
      </w:r>
    </w:p>
    <w:p w14:paraId="217F1ADF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 xml:space="preserve">A szociális, gyermekjóléti és gyermekvédelmi igénybe vevői nyilvántartásról és az országos jelentési rendszerről szóló 415/2015.(XII.23.) </w:t>
      </w:r>
      <w:proofErr w:type="spellStart"/>
      <w:r w:rsidRPr="001421AD">
        <w:rPr>
          <w:rFonts w:ascii="Times New Roman" w:hAnsi="Times New Roman" w:cs="Times New Roman"/>
          <w:color w:val="000000" w:themeColor="text1"/>
        </w:rPr>
        <w:t>korm</w:t>
      </w:r>
      <w:proofErr w:type="spellEnd"/>
      <w:r w:rsidRPr="001421AD">
        <w:rPr>
          <w:rFonts w:ascii="Times New Roman" w:hAnsi="Times New Roman" w:cs="Times New Roman"/>
          <w:color w:val="000000" w:themeColor="text1"/>
        </w:rPr>
        <w:t>. rendelet.</w:t>
      </w:r>
    </w:p>
    <w:p w14:paraId="2436AC10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 xml:space="preserve">A személyes gondoskodást nyújtó szociális ellátások térítési díjáról szóló </w:t>
      </w:r>
      <w:r w:rsidRPr="001421AD">
        <w:rPr>
          <w:rStyle w:val="Kiemels2"/>
          <w:rFonts w:ascii="Times New Roman" w:hAnsi="Times New Roman" w:cs="Times New Roman"/>
          <w:color w:val="000000" w:themeColor="text1"/>
        </w:rPr>
        <w:t>29/1993. (II. 17.) Korm. rendelet</w:t>
      </w:r>
    </w:p>
    <w:p w14:paraId="6073AD7D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 xml:space="preserve">A gondozási szükséglet, valamint az egészségi állapoton alapuló szociális rászorultság vizsgálatának és igazolásának részletes szabályairól szóló </w:t>
      </w:r>
      <w:r w:rsidRPr="001421AD">
        <w:rPr>
          <w:rStyle w:val="Kiemels2"/>
          <w:rFonts w:ascii="Times New Roman" w:hAnsi="Times New Roman" w:cs="Times New Roman"/>
          <w:color w:val="000000" w:themeColor="text1"/>
        </w:rPr>
        <w:t>36/2007. (XII. 22.) SZMM rendelet</w:t>
      </w:r>
    </w:p>
    <w:p w14:paraId="50D37FC8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 xml:space="preserve">A személyes gondoskodást nyújtó szociális intézmények szakmai feladatairól és működésük feltételeiről szóló </w:t>
      </w:r>
      <w:r w:rsidRPr="001421AD">
        <w:rPr>
          <w:rStyle w:val="Kiemels2"/>
          <w:rFonts w:ascii="Times New Roman" w:hAnsi="Times New Roman" w:cs="Times New Roman"/>
          <w:color w:val="000000" w:themeColor="text1"/>
        </w:rPr>
        <w:t xml:space="preserve">1/2000. (I. 7.) </w:t>
      </w:r>
      <w:proofErr w:type="spellStart"/>
      <w:r w:rsidRPr="001421AD">
        <w:rPr>
          <w:rStyle w:val="Kiemels2"/>
          <w:rFonts w:ascii="Times New Roman" w:hAnsi="Times New Roman" w:cs="Times New Roman"/>
          <w:color w:val="000000" w:themeColor="text1"/>
        </w:rPr>
        <w:t>SzCsM</w:t>
      </w:r>
      <w:proofErr w:type="spellEnd"/>
      <w:r w:rsidRPr="001421AD">
        <w:rPr>
          <w:rStyle w:val="Kiemels2"/>
          <w:rFonts w:ascii="Times New Roman" w:hAnsi="Times New Roman" w:cs="Times New Roman"/>
          <w:color w:val="000000" w:themeColor="text1"/>
        </w:rPr>
        <w:t xml:space="preserve"> rendelet (a továbbiakban: </w:t>
      </w:r>
      <w:proofErr w:type="spellStart"/>
      <w:r w:rsidRPr="001421AD">
        <w:rPr>
          <w:rStyle w:val="Kiemels2"/>
          <w:rFonts w:ascii="Times New Roman" w:hAnsi="Times New Roman" w:cs="Times New Roman"/>
          <w:color w:val="000000" w:themeColor="text1"/>
        </w:rPr>
        <w:t>SzCsM</w:t>
      </w:r>
      <w:proofErr w:type="spellEnd"/>
      <w:r w:rsidRPr="001421AD">
        <w:rPr>
          <w:rStyle w:val="Kiemels2"/>
          <w:rFonts w:ascii="Times New Roman" w:hAnsi="Times New Roman" w:cs="Times New Roman"/>
          <w:color w:val="000000" w:themeColor="text1"/>
        </w:rPr>
        <w:t xml:space="preserve"> rendelet</w:t>
      </w:r>
    </w:p>
    <w:p w14:paraId="5CDA00A8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Style w:val="Kiemels2"/>
          <w:rFonts w:ascii="Times New Roman" w:hAnsi="Times New Roman" w:cs="Times New Roman"/>
          <w:b w:val="0"/>
          <w:bCs w:val="0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 xml:space="preserve">A személyes gondoskodást nyújtó szociális ellátások igénybevételéről szóló </w:t>
      </w:r>
      <w:r w:rsidRPr="001421AD">
        <w:rPr>
          <w:rStyle w:val="Kiemels2"/>
          <w:rFonts w:ascii="Times New Roman" w:hAnsi="Times New Roman" w:cs="Times New Roman"/>
          <w:color w:val="000000" w:themeColor="text1"/>
        </w:rPr>
        <w:t xml:space="preserve">9/1999. (XI. 24.) </w:t>
      </w:r>
      <w:proofErr w:type="spellStart"/>
      <w:r w:rsidRPr="001421AD">
        <w:rPr>
          <w:rStyle w:val="Kiemels2"/>
          <w:rFonts w:ascii="Times New Roman" w:hAnsi="Times New Roman" w:cs="Times New Roman"/>
          <w:color w:val="000000" w:themeColor="text1"/>
        </w:rPr>
        <w:t>SzCsM</w:t>
      </w:r>
      <w:proofErr w:type="spellEnd"/>
      <w:r w:rsidRPr="001421AD">
        <w:rPr>
          <w:rStyle w:val="Kiemels2"/>
          <w:rFonts w:ascii="Times New Roman" w:hAnsi="Times New Roman" w:cs="Times New Roman"/>
          <w:color w:val="000000" w:themeColor="text1"/>
        </w:rPr>
        <w:t xml:space="preserve"> rendelet</w:t>
      </w:r>
    </w:p>
    <w:p w14:paraId="3258278A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>A nemzeti köznevelésről szóló 2011. évi CXC. törvény</w:t>
      </w:r>
    </w:p>
    <w:p w14:paraId="7AF1B24B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 xml:space="preserve">A fogyatékos személyek jogairól és esélyegyenlőségük biztosításáról szóló 1998. évi XXVI. törvény </w:t>
      </w:r>
    </w:p>
    <w:p w14:paraId="2551ED4B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>Az egyenlő bánásmódról és az esélyegyenlőség előmozdításáról szóló 2003. évi CXXV. törvény</w:t>
      </w:r>
    </w:p>
    <w:p w14:paraId="53092E70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 xml:space="preserve"> A közérdekű önkéntes tevékenységről szóló 2005. évi LXXXVIII. törvény </w:t>
      </w:r>
    </w:p>
    <w:p w14:paraId="22475083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>A közalkalmazottak jogállásáról szóló 1992. évi XXXIII. törvénynek a szociális, valamint a gyermekjóléti és gyermekvédelmi ágazatban történő végrehajtásáról szóló 257/2000. (XII. 26.) Korm. rendelet</w:t>
      </w:r>
    </w:p>
    <w:p w14:paraId="24E8728E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67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>A Polgári Törvénykönyvről szóló 2013. V. törvény</w:t>
      </w:r>
    </w:p>
    <w:p w14:paraId="047F7793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67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 xml:space="preserve">A számvitelről szóló 2000. évi C. törvény </w:t>
      </w:r>
    </w:p>
    <w:p w14:paraId="291AE88B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67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 xml:space="preserve">A Munka törvénykönyvéről szóló 2012. évi I. törvény </w:t>
      </w:r>
    </w:p>
    <w:p w14:paraId="0857E16F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67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 xml:space="preserve">A közalkalmazottak jogállásáról szóló 1992. évi XXXIII. törvény </w:t>
      </w:r>
    </w:p>
    <w:p w14:paraId="2E7016FF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67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>A munkaköri, szakmai, illetve személyi higiénés alkalmasság orvosi vizsgálatáról és véleményezéséről szóló 33/1998. (VI. 24.) NM. rendelet</w:t>
      </w:r>
    </w:p>
    <w:p w14:paraId="1D2F0CE8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  <w:tab w:val="num" w:pos="567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>Az egészségügyi ellátórendszer fejlesztéséről szóló 2006. évi CXXXII. törvény</w:t>
      </w:r>
    </w:p>
    <w:p w14:paraId="310ED2B6" w14:textId="77777777" w:rsidR="00D31E43" w:rsidRPr="001421AD" w:rsidRDefault="00D31E43" w:rsidP="00D31E43">
      <w:pPr>
        <w:widowControl/>
        <w:numPr>
          <w:ilvl w:val="0"/>
          <w:numId w:val="2"/>
        </w:numPr>
        <w:tabs>
          <w:tab w:val="clear" w:pos="795"/>
        </w:tabs>
        <w:ind w:left="540" w:hanging="540"/>
        <w:jc w:val="both"/>
        <w:rPr>
          <w:rFonts w:ascii="Times New Roman" w:hAnsi="Times New Roman" w:cs="Times New Roman"/>
          <w:color w:val="000000" w:themeColor="text1"/>
        </w:rPr>
      </w:pPr>
      <w:r w:rsidRPr="001421AD">
        <w:rPr>
          <w:rFonts w:ascii="Times New Roman" w:hAnsi="Times New Roman" w:cs="Times New Roman"/>
          <w:color w:val="000000" w:themeColor="text1"/>
        </w:rPr>
        <w:t>Egyes vagyonnyilatkozat-tételi kötelezettségekről szóló 2007. évi CLII. törvény</w:t>
      </w:r>
    </w:p>
    <w:p w14:paraId="31C42C27" w14:textId="77777777" w:rsidR="00D31E43" w:rsidRPr="000434FD" w:rsidRDefault="00D31E43" w:rsidP="000434FD">
      <w:pPr>
        <w:pStyle w:val="Szvegtrzs1"/>
        <w:spacing w:after="600"/>
        <w:jc w:val="center"/>
        <w:rPr>
          <w:b/>
          <w:bCs/>
          <w:sz w:val="32"/>
          <w:szCs w:val="32"/>
        </w:rPr>
      </w:pPr>
    </w:p>
    <w:sectPr w:rsidR="00D31E43" w:rsidRPr="000434FD">
      <w:footerReference w:type="default" r:id="rId7"/>
      <w:pgSz w:w="11900" w:h="16840"/>
      <w:pgMar w:top="889" w:right="1376" w:bottom="1164" w:left="871" w:header="461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44EC1" w14:textId="77777777" w:rsidR="00E0447C" w:rsidRDefault="00E0447C">
      <w:r>
        <w:separator/>
      </w:r>
    </w:p>
  </w:endnote>
  <w:endnote w:type="continuationSeparator" w:id="0">
    <w:p w14:paraId="7B25039E" w14:textId="77777777" w:rsidR="00E0447C" w:rsidRDefault="00E0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1F529" w14:textId="77777777" w:rsidR="008A4907" w:rsidRDefault="005F324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95EE1E" wp14:editId="54DCB749">
              <wp:simplePos x="0" y="0"/>
              <wp:positionH relativeFrom="page">
                <wp:posOffset>3549015</wp:posOffset>
              </wp:positionH>
              <wp:positionV relativeFrom="page">
                <wp:posOffset>10017760</wp:posOffset>
              </wp:positionV>
              <wp:extent cx="13716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7042D0" w14:textId="69E5E089" w:rsidR="008A4907" w:rsidRDefault="008A4907">
                          <w:pPr>
                            <w:pStyle w:val="Fejlcvagylblc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5EE1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79.45pt;margin-top:788.8pt;width:10.8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1mXkgEAACADAAAOAAAAZHJzL2Uyb0RvYy54bWysUlFLAzEMfhf8D6Xv7rYJmzt2G4oogqig&#10;/oCu1+4K16Y0dXf796bdbYq+iS9tmqRfvnzJct3blu1UQAOu4pPRmDPlJNTGbSv+/nZ3ccUZRuFq&#10;0YJTFd8r5OvV+dmy86WaQgNtrQIjEIdl5yvexOjLokDZKCtwBF45CmoIVkR6hm1RB9ERum2L6Xg8&#10;KzoItQ8gFSJ5bw9Bvsr4WisZn7VGFVlbceIW8xnyuUlnsVqKchuEb4wcaIg/sLDCOCp6groVUbCP&#10;YH5BWSMDIOg4kmAL0NpIlXugbibjH928NsKr3AuJg/4kE/4frHzavQRmapodZ05YGlGuyiZJms5j&#10;SRmvnnJifwN9Shv8SM7Uca+DTTf1wihOIu9Pwqo+Mpk+Xc4nM4pICi3m80XWvfj66wPGewWWJaPi&#10;gcaW1RS7R4xUj1KPKamUgzvTtsmfCB6IJCv2m35gt4F6T6Q7mmzFHa0eZ+2DI+HSEhyNcDQ2g5HA&#10;0V9/RCqQ6ybUA9RQjMaQ6Qwrk+b8/Z2zvhZ79QkAAP//AwBQSwMEFAAGAAgAAAAhAKhwjX/fAAAA&#10;DQEAAA8AAABkcnMvZG93bnJldi54bWxMj8FOwzAMhu9IvENkJG4sAdS1K00nNIkLN8aExC1rvKYi&#10;caok69q3JzvB0f4//f7cbGdn2YQhDp4kPK4EMKTO64F6CYfPt4cKWEyKtLKeUMKCEbbt7U2jau0v&#10;9IHTPvUsl1CslQST0lhzHjuDTsWVH5FydvLBqZTH0HMd1CWXO8ufhFhzpwbKF4wacWew+9mfnYRy&#10;/vI4Rtzh92nqghmWyr4vUt7fza8vwBLO6Q+Gq35WhzY7Hf2ZdGRWQlFUm4zmoCjLNbCMFJUogB2v&#10;q82zAN42/P8X7S8AAAD//wMAUEsBAi0AFAAGAAgAAAAhALaDOJL+AAAA4QEAABMAAAAAAAAAAAAA&#10;AAAAAAAAAFtDb250ZW50X1R5cGVzXS54bWxQSwECLQAUAAYACAAAACEAOP0h/9YAAACUAQAACwAA&#10;AAAAAAAAAAAAAAAvAQAAX3JlbHMvLnJlbHNQSwECLQAUAAYACAAAACEAlndZl5IBAAAgAwAADgAA&#10;AAAAAAAAAAAAAAAuAgAAZHJzL2Uyb0RvYy54bWxQSwECLQAUAAYACAAAACEAqHCNf98AAAANAQAA&#10;DwAAAAAAAAAAAAAAAADsAwAAZHJzL2Rvd25yZXYueG1sUEsFBgAAAAAEAAQA8wAAAPgEAAAAAA==&#10;" filled="f" stroked="f">
              <v:textbox style="mso-fit-shape-to-text:t" inset="0,0,0,0">
                <w:txbxContent>
                  <w:p w14:paraId="327042D0" w14:textId="69E5E089" w:rsidR="008A4907" w:rsidRDefault="008A4907">
                    <w:pPr>
                      <w:pStyle w:val="Fejlcvagylblc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1E286" w14:textId="77777777" w:rsidR="00E0447C" w:rsidRDefault="00E0447C"/>
  </w:footnote>
  <w:footnote w:type="continuationSeparator" w:id="0">
    <w:p w14:paraId="7DEED056" w14:textId="77777777" w:rsidR="00E0447C" w:rsidRDefault="00E044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C0930"/>
    <w:multiLevelType w:val="hybridMultilevel"/>
    <w:tmpl w:val="3858D226"/>
    <w:lvl w:ilvl="0" w:tplc="0B2C16C6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742AED6A">
      <w:start w:val="16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052DD8"/>
    <w:multiLevelType w:val="multilevel"/>
    <w:tmpl w:val="0B785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07"/>
    <w:rsid w:val="000434FD"/>
    <w:rsid w:val="005F3241"/>
    <w:rsid w:val="008A4907"/>
    <w:rsid w:val="00D31E43"/>
    <w:rsid w:val="00E0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85844"/>
  <w15:docId w15:val="{D35C3366-C7FF-4655-B146-C6496435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color w:val="00000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31E43"/>
    <w:pPr>
      <w:keepNext/>
      <w:keepLines/>
      <w:widowControl/>
      <w:spacing w:before="120" w:line="252" w:lineRule="auto"/>
      <w:jc w:val="both"/>
      <w:outlineLvl w:val="1"/>
    </w:pPr>
    <w:rPr>
      <w:rFonts w:ascii="Calibri Light" w:eastAsia="SimSun" w:hAnsi="Calibri Light" w:cs="Times New Roman"/>
      <w:b/>
      <w:bCs/>
      <w:color w:val="auto"/>
      <w:sz w:val="28"/>
      <w:szCs w:val="28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blzatfelirata">
    <w:name w:val="Táblázat felirata_"/>
    <w:basedOn w:val="Bekezdsalapbettpusa"/>
    <w:link w:val="Tblzatfelirat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zvegtrzs1">
    <w:name w:val="Szövegtörzs1"/>
    <w:basedOn w:val="Norml"/>
    <w:link w:val="Szvegtrzs"/>
    <w:pPr>
      <w:spacing w:after="140" w:line="360" w:lineRule="auto"/>
    </w:pPr>
    <w:rPr>
      <w:rFonts w:ascii="Times New Roman" w:eastAsia="Times New Roman" w:hAnsi="Times New Roman" w:cs="Times New Roman"/>
    </w:rPr>
  </w:style>
  <w:style w:type="paragraph" w:customStyle="1" w:styleId="Fejlcvagylblc20">
    <w:name w:val="Fejléc vagy lábléc (2)"/>
    <w:basedOn w:val="Norml"/>
    <w:link w:val="Fejlcvagylblc2"/>
    <w:rPr>
      <w:rFonts w:ascii="Times New Roman" w:eastAsia="Times New Roman" w:hAnsi="Times New Roman" w:cs="Times New Roman"/>
      <w:sz w:val="20"/>
      <w:szCs w:val="20"/>
    </w:rPr>
  </w:style>
  <w:style w:type="paragraph" w:customStyle="1" w:styleId="Tblzatfelirata0">
    <w:name w:val="Táblázat felirata"/>
    <w:basedOn w:val="Norml"/>
    <w:link w:val="Tblzatfelirata"/>
    <w:rPr>
      <w:rFonts w:ascii="Times New Roman" w:eastAsia="Times New Roman" w:hAnsi="Times New Roman" w:cs="Times New Roman"/>
    </w:rPr>
  </w:style>
  <w:style w:type="paragraph" w:customStyle="1" w:styleId="Egyb0">
    <w:name w:val="Egyéb"/>
    <w:basedOn w:val="Norml"/>
    <w:link w:val="Egyb"/>
    <w:pPr>
      <w:spacing w:after="140" w:line="360" w:lineRule="auto"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0434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434FD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0434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434FD"/>
    <w:rPr>
      <w:color w:val="000000"/>
    </w:rPr>
  </w:style>
  <w:style w:type="character" w:customStyle="1" w:styleId="Cmsor2Char">
    <w:name w:val="Címsor 2 Char"/>
    <w:basedOn w:val="Bekezdsalapbettpusa"/>
    <w:link w:val="Cmsor2"/>
    <w:uiPriority w:val="9"/>
    <w:rsid w:val="00D31E43"/>
    <w:rPr>
      <w:rFonts w:ascii="Calibri Light" w:eastAsia="SimSun" w:hAnsi="Calibri Light" w:cs="Times New Roman"/>
      <w:b/>
      <w:bCs/>
      <w:sz w:val="28"/>
      <w:szCs w:val="28"/>
      <w:lang w:bidi="ar-SA"/>
    </w:rPr>
  </w:style>
  <w:style w:type="character" w:styleId="Kiemels2">
    <w:name w:val="Strong"/>
    <w:uiPriority w:val="22"/>
    <w:qFormat/>
    <w:rsid w:val="00D31E43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581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szoci_01</cp:lastModifiedBy>
  <cp:revision>3</cp:revision>
  <dcterms:created xsi:type="dcterms:W3CDTF">2024-02-23T10:36:00Z</dcterms:created>
  <dcterms:modified xsi:type="dcterms:W3CDTF">2024-11-25T08:53:00Z</dcterms:modified>
</cp:coreProperties>
</file>